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2</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5694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Bengaluru, India, Aug 25</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-29</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 frame structure</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11</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0" w:after="0" w:afterLines="0" w:line="360" w:lineRule="auto"/>
        <w:jc w:val="both"/>
        <w:rPr>
          <w:rFonts w:hint="eastAsia" w:cs="Times New Roman"/>
          <w:sz w:val="20"/>
          <w:szCs w:val="20"/>
          <w:lang w:val="en-US" w:eastAsia="zh-CN"/>
        </w:rPr>
      </w:pPr>
      <w:r>
        <w:rPr>
          <w:rFonts w:hint="default" w:cs="Times New Roman"/>
          <w:sz w:val="20"/>
          <w:szCs w:val="20"/>
          <w:lang w:val="en-US" w:eastAsia="zh-CN"/>
        </w:rPr>
        <w:t xml:space="preserve">During the RAN#108 meeting, a 6G study item focusing on 6G Radio was approved[[1]. One of the key objectives of this SID is to investigate the design of the </w:t>
      </w:r>
      <w:r>
        <w:rPr>
          <w:rFonts w:hint="eastAsia" w:cs="Times New Roman"/>
          <w:sz w:val="20"/>
          <w:szCs w:val="20"/>
          <w:lang w:val="en-US" w:eastAsia="zh-CN"/>
        </w:rPr>
        <w:t xml:space="preserve">6G </w:t>
      </w:r>
      <w:r>
        <w:rPr>
          <w:rFonts w:hint="default" w:cs="Times New Roman"/>
          <w:sz w:val="20"/>
          <w:szCs w:val="20"/>
          <w:lang w:val="en-US" w:eastAsia="zh-CN"/>
        </w:rPr>
        <w:t>frame structure</w:t>
      </w:r>
      <w:r>
        <w:rPr>
          <w:rFonts w:hint="eastAsia" w:cs="Times New Roman"/>
          <w:sz w:val="20"/>
          <w:szCs w:val="20"/>
          <w:lang w:val="en-US" w:eastAsia="zh-CN"/>
        </w:rPr>
        <w:t xml:space="preserve">. </w:t>
      </w:r>
    </w:p>
    <w:p>
      <w:pPr>
        <w:numPr>
          <w:ilvl w:val="-1"/>
          <w:numId w:val="0"/>
        </w:numPr>
        <w:spacing w:before="0" w:beforeLines="0" w:after="0" w:afterLines="0" w:line="360" w:lineRule="auto"/>
        <w:jc w:val="both"/>
        <w:rPr>
          <w:rFonts w:hint="default" w:cs="Times New Roman"/>
          <w:sz w:val="20"/>
          <w:szCs w:val="20"/>
          <w:lang w:val="en-US" w:eastAsia="zh-CN"/>
        </w:rPr>
      </w:pPr>
      <w:r>
        <w:rPr>
          <w:rFonts w:hint="eastAsia" w:cs="Times New Roman"/>
          <w:sz w:val="20"/>
          <w:szCs w:val="20"/>
          <w:lang w:val="en-US" w:eastAsia="zh-CN"/>
        </w:rPr>
        <w:t>In this contribution, we present our perspectives</w:t>
      </w:r>
      <w:r>
        <w:rPr>
          <w:rFonts w:hint="eastAsia" w:ascii="Times New Roman" w:hAnsi="Times New Roman" w:cs="Times New Roman"/>
          <w:sz w:val="20"/>
          <w:szCs w:val="20"/>
          <w:lang w:val="en-US" w:eastAsia="zh-CN"/>
        </w:rPr>
        <w:t xml:space="preserve"> on the design considerations for</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6G frame structure</w:t>
      </w:r>
      <w:r>
        <w:rPr>
          <w:rFonts w:hint="eastAsia" w:cs="Times New Roman"/>
          <w:sz w:val="20"/>
          <w:szCs w:val="20"/>
          <w:lang w:val="en-US" w:eastAsia="zh-CN"/>
        </w:rPr>
        <w: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spacing w:before="10" w:beforeLines="50" w:after="10" w:afterLines="50" w:line="360" w:lineRule="auto"/>
        <w:ind w:left="0" w:firstLine="0"/>
        <w:rPr>
          <w:b w:val="0"/>
          <w:bCs w:val="0"/>
          <w:lang w:val="en-US" w:eastAsia="zh-CN"/>
        </w:rPr>
      </w:pPr>
      <w:bookmarkStart w:id="5" w:name="_GoBack"/>
      <w:bookmarkEnd w:id="5"/>
      <w:r>
        <w:rPr>
          <w:rFonts w:hint="eastAsia"/>
          <w:b w:val="0"/>
          <w:bCs w:val="0"/>
          <w:lang w:val="en-US" w:eastAsia="zh-CN"/>
        </w:rPr>
        <w:t>Frame structure</w:t>
      </w:r>
    </w:p>
    <w:p>
      <w:pPr>
        <w:spacing w:before="10" w:after="10" w:line="360" w:lineRule="auto"/>
        <w:jc w:val="both"/>
        <w:rPr>
          <w:rFonts w:hint="default"/>
          <w:lang w:val="en-US" w:eastAsia="zh-CN"/>
        </w:rPr>
      </w:pPr>
      <w:r>
        <w:rPr>
          <w:rFonts w:hint="default"/>
          <w:lang w:val="en-US" w:eastAsia="zh-CN"/>
        </w:rPr>
        <w:t xml:space="preserve">Before discussing the 6G frame structure, it is necessary to briefly review the </w:t>
      </w:r>
      <w:r>
        <w:rPr>
          <w:rFonts w:hint="eastAsia"/>
          <w:lang w:val="en-US" w:eastAsia="zh-CN"/>
        </w:rPr>
        <w:t>key</w:t>
      </w:r>
      <w:r>
        <w:rPr>
          <w:rFonts w:hint="default"/>
          <w:lang w:val="en-US" w:eastAsia="zh-CN"/>
        </w:rPr>
        <w:t xml:space="preserve"> design aspects of the NR frame structure</w:t>
      </w:r>
      <w:r>
        <w:rPr>
          <w:rFonts w:hint="eastAsia"/>
          <w:lang w:val="en-US" w:eastAsia="zh-CN"/>
        </w:rPr>
        <w:t>,</w:t>
      </w:r>
      <w:r>
        <w:rPr>
          <w:rFonts w:hint="default"/>
          <w:lang w:val="en-US" w:eastAsia="zh-CN"/>
        </w:rPr>
        <w:t xml:space="preserve"> as this provides a foundation for the 6G frame structure design. </w:t>
      </w:r>
    </w:p>
    <w:p>
      <w:pPr>
        <w:spacing w:before="10" w:after="10" w:line="360" w:lineRule="auto"/>
        <w:jc w:val="both"/>
        <w:rPr>
          <w:rFonts w:hint="default"/>
          <w:lang w:val="en-US" w:eastAsia="zh-CN"/>
        </w:rPr>
      </w:pPr>
      <w:r>
        <w:rPr>
          <w:rFonts w:hint="default"/>
          <w:lang w:val="en-US" w:eastAsia="zh-CN"/>
        </w:rPr>
        <w:t>First</w:t>
      </w:r>
      <w:r>
        <w:rPr>
          <w:rFonts w:hint="eastAsia"/>
          <w:lang w:val="en-US" w:eastAsia="zh-CN"/>
        </w:rPr>
        <w:t>ly</w:t>
      </w:r>
      <w:r>
        <w:rPr>
          <w:rFonts w:hint="default"/>
          <w:lang w:val="en-US" w:eastAsia="zh-CN"/>
        </w:rPr>
        <w:t>, in terms of symbol types, as of Release 19, NR supports downlink symbols, uplink symbols, SBFD symbols, and flexible symbols. Among them, SBFD</w:t>
      </w:r>
      <w:r>
        <w:rPr>
          <w:rFonts w:hint="eastAsia"/>
          <w:lang w:val="en-US" w:eastAsia="zh-CN"/>
        </w:rPr>
        <w:t xml:space="preserve"> </w:t>
      </w:r>
      <w:r>
        <w:rPr>
          <w:rFonts w:hint="default"/>
          <w:lang w:val="en-US" w:eastAsia="zh-CN"/>
        </w:rPr>
        <w:t>symbols refer to downlink symbol</w:t>
      </w:r>
      <w:r>
        <w:rPr>
          <w:rFonts w:hint="eastAsia"/>
          <w:lang w:val="en-US" w:eastAsia="zh-CN"/>
        </w:rPr>
        <w:t xml:space="preserve">s </w:t>
      </w:r>
      <w:r>
        <w:rPr>
          <w:rFonts w:hint="default"/>
          <w:lang w:val="en-US" w:eastAsia="zh-CN"/>
        </w:rPr>
        <w:t xml:space="preserve">or flexible symbols that simultaneously include uplink </w:t>
      </w:r>
      <w:r>
        <w:rPr>
          <w:rFonts w:hint="eastAsia"/>
          <w:lang w:val="en-US" w:eastAsia="zh-CN"/>
        </w:rPr>
        <w:t xml:space="preserve">sub-bands </w:t>
      </w:r>
      <w:r>
        <w:rPr>
          <w:rFonts w:hint="default"/>
          <w:lang w:val="en-US" w:eastAsia="zh-CN"/>
        </w:rPr>
        <w:t xml:space="preserve">and downlink sub-bands, </w:t>
      </w:r>
      <w:r>
        <w:rPr>
          <w:rFonts w:hint="eastAsia"/>
          <w:lang w:val="en-US" w:eastAsia="zh-CN"/>
        </w:rPr>
        <w:t xml:space="preserve">and are </w:t>
      </w:r>
      <w:r>
        <w:rPr>
          <w:rFonts w:hint="default"/>
          <w:lang w:val="en-US" w:eastAsia="zh-CN"/>
        </w:rPr>
        <w:t>primarily designed to improv</w:t>
      </w:r>
      <w:r>
        <w:rPr>
          <w:rFonts w:hint="eastAsia"/>
          <w:lang w:val="en-US" w:eastAsia="zh-CN"/>
        </w:rPr>
        <w:t>e</w:t>
      </w:r>
      <w:r>
        <w:rPr>
          <w:rFonts w:hint="default"/>
          <w:lang w:val="en-US" w:eastAsia="zh-CN"/>
        </w:rPr>
        <w:t xml:space="preserve"> uplink capacity. Considering that the uplink often becomes the bottleneck in wireless systems, it is recommended that the application of SBFD symbols </w:t>
      </w:r>
      <w:r>
        <w:rPr>
          <w:rFonts w:hint="eastAsia"/>
          <w:lang w:val="en-US" w:eastAsia="zh-CN"/>
        </w:rPr>
        <w:t xml:space="preserve">should </w:t>
      </w:r>
      <w:r>
        <w:rPr>
          <w:rFonts w:hint="default"/>
          <w:lang w:val="en-US" w:eastAsia="zh-CN"/>
        </w:rPr>
        <w:t xml:space="preserve">be </w:t>
      </w:r>
      <w:r>
        <w:rPr>
          <w:rFonts w:hint="eastAsia"/>
          <w:lang w:val="en-US" w:eastAsia="zh-CN"/>
        </w:rPr>
        <w:t>considered</w:t>
      </w:r>
      <w:r>
        <w:rPr>
          <w:rFonts w:hint="default"/>
          <w:lang w:val="en-US" w:eastAsia="zh-CN"/>
        </w:rPr>
        <w:t xml:space="preserve"> in the early stages of 6G frame structure design.</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1: </w:t>
      </w:r>
      <w:r>
        <w:rPr>
          <w:rFonts w:hint="eastAsia"/>
          <w:b/>
          <w:bCs/>
          <w:color w:val="auto"/>
          <w:sz w:val="20"/>
          <w:szCs w:val="20"/>
          <w:lang w:val="en-US" w:eastAsia="zh-CN"/>
        </w:rPr>
        <w:t>I</w:t>
      </w:r>
      <w:r>
        <w:rPr>
          <w:rFonts w:hint="default" w:eastAsia="宋体"/>
          <w:b/>
          <w:bCs/>
          <w:color w:val="auto"/>
          <w:sz w:val="20"/>
          <w:szCs w:val="20"/>
          <w:lang w:val="en-US" w:eastAsia="zh-CN"/>
        </w:rPr>
        <w:t>t is recommended that the application of SBFD symbols should be considered in the early stages of 6G frame structure design.</w:t>
      </w:r>
    </w:p>
    <w:p>
      <w:pPr>
        <w:spacing w:before="10" w:after="10" w:line="360" w:lineRule="auto"/>
        <w:jc w:val="both"/>
        <w:rPr>
          <w:rFonts w:hint="default"/>
          <w:lang w:val="en-US" w:eastAsia="zh-CN"/>
        </w:rPr>
      </w:pPr>
      <w:r>
        <w:rPr>
          <w:rFonts w:hint="default"/>
          <w:lang w:val="en-US" w:eastAsia="zh-CN"/>
        </w:rPr>
        <w:t>Secondly, regarding slot configuration, NR supports flexible slot configuratio</w:t>
      </w:r>
      <w:r>
        <w:rPr>
          <w:rFonts w:hint="eastAsia"/>
          <w:lang w:val="en-US" w:eastAsia="zh-CN"/>
        </w:rPr>
        <w:t>n</w:t>
      </w:r>
      <w:r>
        <w:rPr>
          <w:rFonts w:hint="default"/>
          <w:lang w:val="en-US" w:eastAsia="zh-CN"/>
        </w:rPr>
        <w:t xml:space="preserve"> to address diverse requirements across scenarios such as eMBB, mMTC, and URLLC in 5G. This flexibility allows dynamic adjustment of the ratio between downlink </w:t>
      </w:r>
      <w:r>
        <w:rPr>
          <w:rFonts w:hint="eastAsia"/>
          <w:lang w:val="en-US" w:eastAsia="zh-CN"/>
        </w:rPr>
        <w:t xml:space="preserve">symbols </w:t>
      </w:r>
      <w:r>
        <w:rPr>
          <w:rFonts w:hint="default"/>
          <w:lang w:val="en-US" w:eastAsia="zh-CN"/>
        </w:rPr>
        <w:t>and uplink </w:t>
      </w:r>
      <w:r>
        <w:rPr>
          <w:rFonts w:hint="eastAsia"/>
          <w:lang w:val="en-US" w:eastAsia="zh-CN"/>
        </w:rPr>
        <w:t>symbols</w:t>
      </w:r>
      <w:r>
        <w:rPr>
          <w:rFonts w:hint="default"/>
          <w:lang w:val="en-US" w:eastAsia="zh-CN"/>
        </w:rPr>
        <w:t xml:space="preserve"> based on actual service requirements, thereby enabling more effective scheduling to accommodate various service requirements. With 6G anticipated to introduce enhanced scenarios such as eMBB+, mMTC+, and URLLC+, it is recommended to extend the flexible slot configuration mechanism from NR to 6G as well.</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to extend the flexible slot configuration mechanism from NR to 6G as well.</w:t>
      </w:r>
    </w:p>
    <w:p>
      <w:pPr>
        <w:spacing w:before="10" w:after="10" w:line="360" w:lineRule="auto"/>
        <w:jc w:val="both"/>
        <w:rPr>
          <w:rFonts w:hint="default"/>
          <w:lang w:val="en-US" w:eastAsia="zh-CN"/>
        </w:rPr>
      </w:pPr>
      <w:r>
        <w:rPr>
          <w:rFonts w:hint="default"/>
          <w:lang w:val="en-US" w:eastAsia="zh-CN"/>
        </w:rPr>
        <w:t xml:space="preserve">In addition, with respect to frame timing, 5G has maintained the same </w:t>
      </w:r>
      <w:r>
        <w:rPr>
          <w:rFonts w:hint="eastAsia"/>
          <w:lang w:val="en-US" w:eastAsia="zh-CN"/>
        </w:rPr>
        <w:t>radio frame</w:t>
      </w:r>
      <w:r>
        <w:rPr>
          <w:rFonts w:hint="default"/>
          <w:lang w:val="en-US" w:eastAsia="zh-CN"/>
        </w:rPr>
        <w:t xml:space="preserve"> boundary as 4G</w:t>
      </w:r>
      <w:r>
        <w:rPr>
          <w:rFonts w:hint="eastAsia"/>
          <w:lang w:val="en-US" w:eastAsia="zh-CN"/>
        </w:rPr>
        <w:t>.</w:t>
      </w:r>
      <w:r>
        <w:rPr>
          <w:rFonts w:hint="default"/>
          <w:lang w:val="en-US" w:eastAsia="zh-CN"/>
        </w:rPr>
        <w:t xml:space="preserve"> This alignment helps minimize the complexity of interworking between different Radio Access Technologies (RATs), such as carrier aggregation and dual connectivity. Therefore, </w:t>
      </w:r>
      <w:r>
        <w:rPr>
          <w:rFonts w:hint="eastAsia"/>
          <w:lang w:val="en-US" w:eastAsia="zh-CN"/>
        </w:rPr>
        <w:t>t</w:t>
      </w:r>
      <w:r>
        <w:rPr>
          <w:rFonts w:hint="default"/>
          <w:lang w:val="en-US" w:eastAsia="zh-CN"/>
        </w:rPr>
        <w:t xml:space="preserve">o facilitate seamless network and terminal evolution, it is recommended that 6G </w:t>
      </w:r>
      <w:r>
        <w:rPr>
          <w:rFonts w:hint="eastAsia"/>
          <w:lang w:val="en-US" w:eastAsia="zh-CN"/>
        </w:rPr>
        <w:t xml:space="preserve">also </w:t>
      </w:r>
      <w:r>
        <w:rPr>
          <w:rFonts w:hint="default"/>
          <w:lang w:val="en-US" w:eastAsia="zh-CN"/>
        </w:rPr>
        <w:t xml:space="preserve">maintain </w:t>
      </w:r>
      <w:r>
        <w:rPr>
          <w:rFonts w:hint="eastAsia"/>
          <w:lang w:val="en-US" w:eastAsia="zh-CN"/>
        </w:rPr>
        <w:t xml:space="preserve">the same radio </w:t>
      </w:r>
      <w:r>
        <w:rPr>
          <w:rFonts w:hint="default"/>
          <w:lang w:val="en-US" w:eastAsia="zh-CN"/>
        </w:rPr>
        <w:t>frame boundary alignment with both 4G and 5G, thereby lowering the complexity of system implementation and evolution.</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6G also maintain the same radio frame boundary alignment with both 4G and 5G.</w:t>
      </w:r>
    </w:p>
    <w:p>
      <w:pPr>
        <w:spacing w:before="10" w:after="10" w:line="360" w:lineRule="auto"/>
        <w:jc w:val="both"/>
        <w:rPr>
          <w:rFonts w:hint="default"/>
          <w:lang w:val="en-US" w:eastAsia="zh-CN"/>
        </w:rPr>
      </w:pPr>
    </w:p>
    <w:p>
      <w:pPr>
        <w:spacing w:before="10" w:after="10" w:line="360" w:lineRule="auto"/>
        <w:jc w:val="both"/>
        <w:rPr>
          <w:rFonts w:hint="default"/>
          <w:lang w:val="en-US" w:eastAsia="zh-CN"/>
        </w:rPr>
      </w:pPr>
      <w:r>
        <w:rPr>
          <w:rFonts w:hint="default"/>
          <w:lang w:val="en-US" w:eastAsia="zh-CN"/>
        </w:rPr>
        <w:t xml:space="preserve">Furthermore, in terms of retransmission mechanisms, NR has continuously enhanced the design of physical channel retransmission since Release 15 to improve transmission robustness. Accordingly, it is recommended that 6G consider retransmission mechanisms for different channels from the very beginning. This means the frame structure should not </w:t>
      </w:r>
      <w:r>
        <w:rPr>
          <w:rFonts w:hint="eastAsia"/>
          <w:lang w:val="en-US" w:eastAsia="zh-CN"/>
        </w:rPr>
        <w:t xml:space="preserve">only </w:t>
      </w:r>
      <w:r>
        <w:rPr>
          <w:rFonts w:hint="default"/>
          <w:lang w:val="en-US" w:eastAsia="zh-CN"/>
        </w:rPr>
        <w:t>be limited to single subframe transmissions</w:t>
      </w:r>
      <w:r>
        <w:rPr>
          <w:rFonts w:hint="eastAsia"/>
          <w:lang w:val="en-US" w:eastAsia="zh-CN"/>
        </w:rPr>
        <w:t>,</w:t>
      </w:r>
      <w:r>
        <w:rPr>
          <w:rFonts w:hint="default"/>
          <w:lang w:val="en-US" w:eastAsia="zh-CN"/>
        </w:rPr>
        <w:t xml:space="preserve"> but </w:t>
      </w:r>
      <w:r>
        <w:rPr>
          <w:rFonts w:hint="eastAsia"/>
          <w:lang w:val="en-US" w:eastAsia="zh-CN"/>
        </w:rPr>
        <w:t xml:space="preserve">also </w:t>
      </w:r>
      <w:r>
        <w:rPr>
          <w:rFonts w:hint="default"/>
          <w:lang w:val="en-US" w:eastAsia="zh-CN"/>
        </w:rPr>
        <w:t>support multi-subframe continuous transmissions to meet the demands of high throughput and complex service scenarios. Additionally,</w:t>
      </w:r>
      <w:r>
        <w:rPr>
          <w:rFonts w:hint="eastAsia"/>
          <w:lang w:val="en-US" w:eastAsia="zh-CN"/>
        </w:rPr>
        <w:t xml:space="preserve"> s</w:t>
      </w:r>
      <w:r>
        <w:rPr>
          <w:rFonts w:hint="default"/>
          <w:lang w:val="en-US" w:eastAsia="zh-CN"/>
        </w:rPr>
        <w:t>uch a design can help optimize system resource utilization and reduce additional overhead caused by frequent switching and control signaling.</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6G consider retransmission mechanisms for different channels from the very beginning.</w:t>
      </w:r>
    </w:p>
    <w:p>
      <w:pPr>
        <w:spacing w:before="10" w:after="10" w:line="360" w:lineRule="auto"/>
        <w:jc w:val="both"/>
        <w:rPr>
          <w:rFonts w:hint="eastAsia"/>
          <w:lang w:val="en-US" w:eastAsia="zh-CN"/>
        </w:rPr>
      </w:pPr>
      <w:r>
        <w:rPr>
          <w:rFonts w:hint="default"/>
          <w:lang w:val="en-US" w:eastAsia="zh-CN"/>
        </w:rPr>
        <w:t xml:space="preserve">Finally, considering the technological evolution envisioned for 6G, the frame structure design should not only address the requirements </w:t>
      </w:r>
      <w:r>
        <w:rPr>
          <w:rFonts w:hint="eastAsia"/>
          <w:lang w:val="en-US" w:eastAsia="zh-CN"/>
        </w:rPr>
        <w:t>f</w:t>
      </w:r>
      <w:r>
        <w:rPr>
          <w:rFonts w:hint="default"/>
          <w:lang w:val="en-US" w:eastAsia="zh-CN"/>
        </w:rPr>
        <w:t>o</w:t>
      </w:r>
      <w:r>
        <w:rPr>
          <w:rFonts w:hint="eastAsia"/>
          <w:lang w:val="en-US" w:eastAsia="zh-CN"/>
        </w:rPr>
        <w:t>r</w:t>
      </w:r>
      <w:r>
        <w:rPr>
          <w:rFonts w:hint="default"/>
          <w:lang w:val="en-US" w:eastAsia="zh-CN"/>
        </w:rPr>
        <w:t xml:space="preserve"> traditional downlink, uplink, and sidelink transmissions</w:t>
      </w:r>
      <w:r>
        <w:rPr>
          <w:rFonts w:hint="eastAsia"/>
          <w:lang w:val="en-US" w:eastAsia="zh-CN"/>
        </w:rPr>
        <w:t>,</w:t>
      </w:r>
      <w:r>
        <w:rPr>
          <w:rFonts w:hint="default"/>
          <w:lang w:val="en-US" w:eastAsia="zh-CN"/>
        </w:rPr>
        <w:t xml:space="preserve"> but also support new scenarios such as ISAC</w:t>
      </w:r>
      <w:r>
        <w:rPr>
          <w:rFonts w:hint="eastAsia"/>
          <w:lang w:val="en-US" w:eastAsia="zh-CN"/>
        </w:rPr>
        <w:t>.</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that frame structure design should not only address the requirements for traditional downlink, uplink, and sidelink transmissions, but also support new scenarios such as ISAC</w:t>
      </w:r>
      <w:r>
        <w:rPr>
          <w:rFonts w:hint="default" w:eastAsia="宋体"/>
          <w:b/>
          <w:bCs/>
          <w:color w:val="auto"/>
          <w:sz w:val="20"/>
          <w:szCs w:val="20"/>
          <w:lang w:val="en-US" w:eastAsia="zh-CN"/>
        </w:rPr>
        <w:t>.</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hint="default"/>
          <w:lang w:val="en-US" w:eastAsia="zh-CN"/>
        </w:rPr>
        <w:t>.</w:t>
      </w: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the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6G frame structure</w:t>
      </w:r>
      <w:r>
        <w:rPr>
          <w:rFonts w:hint="default" w:ascii="Times New Roman" w:hAnsi="Times New Roman" w:cs="Times New Roman"/>
          <w:sz w:val="20"/>
          <w:szCs w:val="20"/>
          <w:lang w:val="en-US" w:eastAsia="zh-CN"/>
        </w:rPr>
        <w:t xml:space="preserv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1: It is recommended that the application of SBFD symbols should be considered in the early stages of 6G frame structure design.</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2: It is recommended to extend the flexible slot configuration mechanism from NR to 6G as well.</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3: It is recommended that 6G also maintain the same radio frame boundary alignment with both 4G and 5G.</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4: It is recommended that 6G consider retransmission mechanisms for different channels from the very beginning.</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5: It is recommended that frame structure design should not only address the requirements for traditional downlink, uplink, and sidelink transmissions, but also support new scenarios such as ISAC.</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3"/>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lang w:val="en-US" w:eastAsia="zh-CN"/>
        </w:rPr>
        <w:t xml:space="preserve">RP-251881, </w:t>
      </w:r>
      <w:r>
        <w:rPr>
          <w:rFonts w:hint="default" w:ascii="Times New Roman" w:hAnsi="Times New Roman"/>
          <w:lang w:val="zh-CN" w:eastAsia="zh-CN"/>
        </w:rPr>
        <w:t>“New SID: Study on 6G Radio”</w:t>
      </w:r>
      <w:r>
        <w:rPr>
          <w:rFonts w:hint="eastAsia" w:ascii="Times New Roman" w:hAnsi="Times New Roman"/>
          <w:lang w:val="zh-CN" w:eastAsia="zh-CN"/>
        </w:rPr>
        <w:t>, RAN#</w:t>
      </w:r>
      <w:r>
        <w:rPr>
          <w:rFonts w:hint="eastAsia" w:ascii="Times New Roman" w:hAnsi="Times New Roman"/>
          <w:lang w:val="en-US" w:eastAsia="zh-CN"/>
        </w:rPr>
        <w:t>108</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eiryo">
    <w:altName w:val="Yu Gothic"/>
    <w:panose1 w:val="00000000000000000000"/>
    <w:charset w:val="80"/>
    <w:family w:val="swiss"/>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914021"/>
    <w:rsid w:val="01A5084E"/>
    <w:rsid w:val="01B93EE0"/>
    <w:rsid w:val="01C95A51"/>
    <w:rsid w:val="01DE08B7"/>
    <w:rsid w:val="01E46029"/>
    <w:rsid w:val="01ED49B9"/>
    <w:rsid w:val="01EE0778"/>
    <w:rsid w:val="01FC7E4D"/>
    <w:rsid w:val="020E6E6E"/>
    <w:rsid w:val="021A3B78"/>
    <w:rsid w:val="022B099C"/>
    <w:rsid w:val="02366D2D"/>
    <w:rsid w:val="02447348"/>
    <w:rsid w:val="02821545"/>
    <w:rsid w:val="02A660E8"/>
    <w:rsid w:val="02AE06E2"/>
    <w:rsid w:val="02B16677"/>
    <w:rsid w:val="02BA26ED"/>
    <w:rsid w:val="02E4484E"/>
    <w:rsid w:val="02ED37D5"/>
    <w:rsid w:val="03292219"/>
    <w:rsid w:val="032D0C33"/>
    <w:rsid w:val="03333EBB"/>
    <w:rsid w:val="03382FAD"/>
    <w:rsid w:val="03600D99"/>
    <w:rsid w:val="03751C38"/>
    <w:rsid w:val="037C4E46"/>
    <w:rsid w:val="039242F7"/>
    <w:rsid w:val="039F6C2A"/>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76BDB"/>
    <w:rsid w:val="043D1681"/>
    <w:rsid w:val="045D79B7"/>
    <w:rsid w:val="045F7637"/>
    <w:rsid w:val="046105A7"/>
    <w:rsid w:val="04664A43"/>
    <w:rsid w:val="048A1780"/>
    <w:rsid w:val="048C0506"/>
    <w:rsid w:val="049C69AA"/>
    <w:rsid w:val="049E5C39"/>
    <w:rsid w:val="04C24D03"/>
    <w:rsid w:val="04FF173F"/>
    <w:rsid w:val="05093353"/>
    <w:rsid w:val="050B2FD3"/>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51A56"/>
    <w:rsid w:val="06467E10"/>
    <w:rsid w:val="06493B4E"/>
    <w:rsid w:val="065651D6"/>
    <w:rsid w:val="06631006"/>
    <w:rsid w:val="06723CAF"/>
    <w:rsid w:val="067F5646"/>
    <w:rsid w:val="0682513E"/>
    <w:rsid w:val="068B669D"/>
    <w:rsid w:val="068C5A4E"/>
    <w:rsid w:val="068E0F51"/>
    <w:rsid w:val="068F5593"/>
    <w:rsid w:val="069375D7"/>
    <w:rsid w:val="06963DDF"/>
    <w:rsid w:val="06A15E55"/>
    <w:rsid w:val="06AB48E6"/>
    <w:rsid w:val="06B22BCB"/>
    <w:rsid w:val="06B6596F"/>
    <w:rsid w:val="06C9625A"/>
    <w:rsid w:val="06D76DC6"/>
    <w:rsid w:val="06DB01C7"/>
    <w:rsid w:val="06E90345"/>
    <w:rsid w:val="06F421CE"/>
    <w:rsid w:val="06FD7C23"/>
    <w:rsid w:val="0703310E"/>
    <w:rsid w:val="072950F2"/>
    <w:rsid w:val="072D4B68"/>
    <w:rsid w:val="07354BE2"/>
    <w:rsid w:val="07410D95"/>
    <w:rsid w:val="07412138"/>
    <w:rsid w:val="075014AD"/>
    <w:rsid w:val="075B4E21"/>
    <w:rsid w:val="07631C05"/>
    <w:rsid w:val="076B50BC"/>
    <w:rsid w:val="079743E7"/>
    <w:rsid w:val="07A03B2F"/>
    <w:rsid w:val="07B728D5"/>
    <w:rsid w:val="07BC033E"/>
    <w:rsid w:val="07BE3841"/>
    <w:rsid w:val="07DE508C"/>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FB666F"/>
    <w:rsid w:val="0A096F0D"/>
    <w:rsid w:val="0A153CE4"/>
    <w:rsid w:val="0A171B51"/>
    <w:rsid w:val="0A4679E7"/>
    <w:rsid w:val="0A4F4EB7"/>
    <w:rsid w:val="0A573505"/>
    <w:rsid w:val="0A580F87"/>
    <w:rsid w:val="0A5A3428"/>
    <w:rsid w:val="0A603E15"/>
    <w:rsid w:val="0A836E29"/>
    <w:rsid w:val="0A886755"/>
    <w:rsid w:val="0A887557"/>
    <w:rsid w:val="0A940E9D"/>
    <w:rsid w:val="0A944117"/>
    <w:rsid w:val="0AA239BF"/>
    <w:rsid w:val="0AB1291A"/>
    <w:rsid w:val="0AB5350C"/>
    <w:rsid w:val="0AC8754E"/>
    <w:rsid w:val="0AD04CB6"/>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FF4A4F"/>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576071"/>
    <w:rsid w:val="0D624402"/>
    <w:rsid w:val="0D6E5C96"/>
    <w:rsid w:val="0D794027"/>
    <w:rsid w:val="0D8008CF"/>
    <w:rsid w:val="0D9F3231"/>
    <w:rsid w:val="0DA306EE"/>
    <w:rsid w:val="0DBF259D"/>
    <w:rsid w:val="0DC566A4"/>
    <w:rsid w:val="0DCC602F"/>
    <w:rsid w:val="0DF513F2"/>
    <w:rsid w:val="0DFE15A3"/>
    <w:rsid w:val="0E1C70B3"/>
    <w:rsid w:val="0E241F41"/>
    <w:rsid w:val="0E2A3E4A"/>
    <w:rsid w:val="0E2C3933"/>
    <w:rsid w:val="0E3A1EE7"/>
    <w:rsid w:val="0E4D44EF"/>
    <w:rsid w:val="0E6147E8"/>
    <w:rsid w:val="0E806DD8"/>
    <w:rsid w:val="0E891C66"/>
    <w:rsid w:val="0E9D4189"/>
    <w:rsid w:val="0EA923DC"/>
    <w:rsid w:val="0EC30B46"/>
    <w:rsid w:val="0EF85813"/>
    <w:rsid w:val="0F0B0B79"/>
    <w:rsid w:val="0F0C050B"/>
    <w:rsid w:val="0F396010"/>
    <w:rsid w:val="0F3D018A"/>
    <w:rsid w:val="0F524340"/>
    <w:rsid w:val="0F6770D5"/>
    <w:rsid w:val="0F6D259E"/>
    <w:rsid w:val="0F8143FC"/>
    <w:rsid w:val="0F976375"/>
    <w:rsid w:val="0FAB0A36"/>
    <w:rsid w:val="0FBB3C35"/>
    <w:rsid w:val="0FCD6A7A"/>
    <w:rsid w:val="0FCF1F7D"/>
    <w:rsid w:val="0FD746B6"/>
    <w:rsid w:val="0FD94151"/>
    <w:rsid w:val="0FF80ADD"/>
    <w:rsid w:val="105153AD"/>
    <w:rsid w:val="1053215A"/>
    <w:rsid w:val="1060186C"/>
    <w:rsid w:val="10604BF8"/>
    <w:rsid w:val="107F6857"/>
    <w:rsid w:val="108F23BB"/>
    <w:rsid w:val="10931CC7"/>
    <w:rsid w:val="109E7152"/>
    <w:rsid w:val="10C54ADC"/>
    <w:rsid w:val="10D64D2E"/>
    <w:rsid w:val="10F46F86"/>
    <w:rsid w:val="10F51AD3"/>
    <w:rsid w:val="10F86567"/>
    <w:rsid w:val="11070DD9"/>
    <w:rsid w:val="110F3211"/>
    <w:rsid w:val="11124A42"/>
    <w:rsid w:val="111B4CC6"/>
    <w:rsid w:val="11203C30"/>
    <w:rsid w:val="11321BC4"/>
    <w:rsid w:val="11361122"/>
    <w:rsid w:val="11433E14"/>
    <w:rsid w:val="11624912"/>
    <w:rsid w:val="118F66DA"/>
    <w:rsid w:val="11A62E62"/>
    <w:rsid w:val="11AD400C"/>
    <w:rsid w:val="11B22B48"/>
    <w:rsid w:val="11BC7B3F"/>
    <w:rsid w:val="11DC4675"/>
    <w:rsid w:val="11E93353"/>
    <w:rsid w:val="11E97E3C"/>
    <w:rsid w:val="12124AB5"/>
    <w:rsid w:val="123B45F5"/>
    <w:rsid w:val="123D56D9"/>
    <w:rsid w:val="12413F80"/>
    <w:rsid w:val="12851A4C"/>
    <w:rsid w:val="12960691"/>
    <w:rsid w:val="12A365A3"/>
    <w:rsid w:val="12A36D19"/>
    <w:rsid w:val="12A44024"/>
    <w:rsid w:val="12C54559"/>
    <w:rsid w:val="12DF4C74"/>
    <w:rsid w:val="12E73814"/>
    <w:rsid w:val="12F450A8"/>
    <w:rsid w:val="1301537A"/>
    <w:rsid w:val="131577DB"/>
    <w:rsid w:val="131D046B"/>
    <w:rsid w:val="1322106F"/>
    <w:rsid w:val="132D673F"/>
    <w:rsid w:val="13303AB1"/>
    <w:rsid w:val="134104D7"/>
    <w:rsid w:val="135B2B22"/>
    <w:rsid w:val="135C7F4F"/>
    <w:rsid w:val="13606D51"/>
    <w:rsid w:val="136256DC"/>
    <w:rsid w:val="136844F9"/>
    <w:rsid w:val="13702473"/>
    <w:rsid w:val="139559A9"/>
    <w:rsid w:val="139F60D9"/>
    <w:rsid w:val="13A67F63"/>
    <w:rsid w:val="13AD6A55"/>
    <w:rsid w:val="13E54630"/>
    <w:rsid w:val="13E75FA8"/>
    <w:rsid w:val="13F554B1"/>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643D6"/>
    <w:rsid w:val="15206937"/>
    <w:rsid w:val="154645F8"/>
    <w:rsid w:val="15682461"/>
    <w:rsid w:val="159F4C86"/>
    <w:rsid w:val="15AD3A82"/>
    <w:rsid w:val="15B410EB"/>
    <w:rsid w:val="15BF12E4"/>
    <w:rsid w:val="15C603C9"/>
    <w:rsid w:val="15CE7E95"/>
    <w:rsid w:val="15D00754"/>
    <w:rsid w:val="15E82AFC"/>
    <w:rsid w:val="15EA5FFF"/>
    <w:rsid w:val="15EB7304"/>
    <w:rsid w:val="161165A9"/>
    <w:rsid w:val="161D0DD8"/>
    <w:rsid w:val="1637041A"/>
    <w:rsid w:val="16501227"/>
    <w:rsid w:val="1652472A"/>
    <w:rsid w:val="167028EC"/>
    <w:rsid w:val="16A135AF"/>
    <w:rsid w:val="16BB6316"/>
    <w:rsid w:val="16BC5984"/>
    <w:rsid w:val="16CD4A10"/>
    <w:rsid w:val="16D162FD"/>
    <w:rsid w:val="16D34EC0"/>
    <w:rsid w:val="16D730C1"/>
    <w:rsid w:val="16E628C2"/>
    <w:rsid w:val="170148CE"/>
    <w:rsid w:val="170B1239"/>
    <w:rsid w:val="171112E5"/>
    <w:rsid w:val="17160823"/>
    <w:rsid w:val="17326BFF"/>
    <w:rsid w:val="173340E6"/>
    <w:rsid w:val="176432ED"/>
    <w:rsid w:val="1766497C"/>
    <w:rsid w:val="17846D8A"/>
    <w:rsid w:val="179358ED"/>
    <w:rsid w:val="17B13154"/>
    <w:rsid w:val="17EF5450"/>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1A4F3D"/>
    <w:rsid w:val="19286D8E"/>
    <w:rsid w:val="19362978"/>
    <w:rsid w:val="19362B11"/>
    <w:rsid w:val="194B0F90"/>
    <w:rsid w:val="19A22A9C"/>
    <w:rsid w:val="19AB5A16"/>
    <w:rsid w:val="19B6063F"/>
    <w:rsid w:val="19C21571"/>
    <w:rsid w:val="19D3216D"/>
    <w:rsid w:val="19DB757A"/>
    <w:rsid w:val="19DE61EA"/>
    <w:rsid w:val="19E5623B"/>
    <w:rsid w:val="19F743DF"/>
    <w:rsid w:val="1A002E8D"/>
    <w:rsid w:val="1A092EB5"/>
    <w:rsid w:val="1A093D0B"/>
    <w:rsid w:val="1A0F674F"/>
    <w:rsid w:val="1A111C52"/>
    <w:rsid w:val="1A2608F3"/>
    <w:rsid w:val="1A373790"/>
    <w:rsid w:val="1A5204BD"/>
    <w:rsid w:val="1A682661"/>
    <w:rsid w:val="1A6F4D6E"/>
    <w:rsid w:val="1A70368C"/>
    <w:rsid w:val="1A882CBF"/>
    <w:rsid w:val="1A942215"/>
    <w:rsid w:val="1A9E33B7"/>
    <w:rsid w:val="1AA8344A"/>
    <w:rsid w:val="1AAE4765"/>
    <w:rsid w:val="1AB25F55"/>
    <w:rsid w:val="1ACC2385"/>
    <w:rsid w:val="1AD0213C"/>
    <w:rsid w:val="1AE16AA7"/>
    <w:rsid w:val="1AE462AF"/>
    <w:rsid w:val="1AE945CD"/>
    <w:rsid w:val="1AF65748"/>
    <w:rsid w:val="1B023361"/>
    <w:rsid w:val="1B0C4DA8"/>
    <w:rsid w:val="1B1A7F06"/>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8428CC"/>
    <w:rsid w:val="1CB731AA"/>
    <w:rsid w:val="1CB908AC"/>
    <w:rsid w:val="1CC26829"/>
    <w:rsid w:val="1CDC7B67"/>
    <w:rsid w:val="1CE32D75"/>
    <w:rsid w:val="1D176197"/>
    <w:rsid w:val="1D1B2ECF"/>
    <w:rsid w:val="1D3A2CBF"/>
    <w:rsid w:val="1D3A3784"/>
    <w:rsid w:val="1D3D187B"/>
    <w:rsid w:val="1D4E0DE6"/>
    <w:rsid w:val="1D5F3C1E"/>
    <w:rsid w:val="1D786CA0"/>
    <w:rsid w:val="1DA1442D"/>
    <w:rsid w:val="1DA453B1"/>
    <w:rsid w:val="1DCA7153"/>
    <w:rsid w:val="1E310498"/>
    <w:rsid w:val="1E4303B3"/>
    <w:rsid w:val="1E450B37"/>
    <w:rsid w:val="1E5D04F2"/>
    <w:rsid w:val="1E6C1577"/>
    <w:rsid w:val="1E7744D8"/>
    <w:rsid w:val="1E913FE6"/>
    <w:rsid w:val="1EB451EE"/>
    <w:rsid w:val="1ECD0317"/>
    <w:rsid w:val="1ED32220"/>
    <w:rsid w:val="1EF27252"/>
    <w:rsid w:val="1EF736D9"/>
    <w:rsid w:val="1EF8454C"/>
    <w:rsid w:val="1F0868CC"/>
    <w:rsid w:val="1F1402D1"/>
    <w:rsid w:val="1F2A0454"/>
    <w:rsid w:val="1F5F5687"/>
    <w:rsid w:val="1F63408D"/>
    <w:rsid w:val="1F665012"/>
    <w:rsid w:val="1F667210"/>
    <w:rsid w:val="1F713F17"/>
    <w:rsid w:val="1F750C79"/>
    <w:rsid w:val="1F7B1734"/>
    <w:rsid w:val="1F8079C8"/>
    <w:rsid w:val="1F904D1B"/>
    <w:rsid w:val="1F921AFC"/>
    <w:rsid w:val="1FBF3122"/>
    <w:rsid w:val="1FBF7ED9"/>
    <w:rsid w:val="1FC2792A"/>
    <w:rsid w:val="1FEC2E86"/>
    <w:rsid w:val="1FF47D57"/>
    <w:rsid w:val="20061318"/>
    <w:rsid w:val="200F068A"/>
    <w:rsid w:val="20165EEA"/>
    <w:rsid w:val="20273EC1"/>
    <w:rsid w:val="202C1558"/>
    <w:rsid w:val="20323461"/>
    <w:rsid w:val="203E1579"/>
    <w:rsid w:val="203E4CF5"/>
    <w:rsid w:val="204562F9"/>
    <w:rsid w:val="20486C30"/>
    <w:rsid w:val="204F1D3F"/>
    <w:rsid w:val="205D20D4"/>
    <w:rsid w:val="20600576"/>
    <w:rsid w:val="207520C7"/>
    <w:rsid w:val="207C25DC"/>
    <w:rsid w:val="20AA5A3A"/>
    <w:rsid w:val="20DA5585"/>
    <w:rsid w:val="20DC4847"/>
    <w:rsid w:val="20F14799"/>
    <w:rsid w:val="20F644A4"/>
    <w:rsid w:val="20F95428"/>
    <w:rsid w:val="20FC2B2A"/>
    <w:rsid w:val="21004DB3"/>
    <w:rsid w:val="210D0846"/>
    <w:rsid w:val="21190C8C"/>
    <w:rsid w:val="21197EDC"/>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579A"/>
    <w:rsid w:val="223F443B"/>
    <w:rsid w:val="224131C1"/>
    <w:rsid w:val="226804C4"/>
    <w:rsid w:val="226A1E07"/>
    <w:rsid w:val="226E080D"/>
    <w:rsid w:val="227642CF"/>
    <w:rsid w:val="227749C1"/>
    <w:rsid w:val="22827B85"/>
    <w:rsid w:val="228D52AD"/>
    <w:rsid w:val="22A266DE"/>
    <w:rsid w:val="22AE5D73"/>
    <w:rsid w:val="22B456FE"/>
    <w:rsid w:val="22B578FD"/>
    <w:rsid w:val="22DF1DC6"/>
    <w:rsid w:val="22EB050E"/>
    <w:rsid w:val="22EE7297"/>
    <w:rsid w:val="22F215F2"/>
    <w:rsid w:val="22F40CCD"/>
    <w:rsid w:val="22FD69AE"/>
    <w:rsid w:val="230B5C6A"/>
    <w:rsid w:val="23102595"/>
    <w:rsid w:val="232A313F"/>
    <w:rsid w:val="2331054B"/>
    <w:rsid w:val="233D0CA3"/>
    <w:rsid w:val="2350557D"/>
    <w:rsid w:val="23543698"/>
    <w:rsid w:val="235532CB"/>
    <w:rsid w:val="23571683"/>
    <w:rsid w:val="2378316C"/>
    <w:rsid w:val="23A6050A"/>
    <w:rsid w:val="23AB02F8"/>
    <w:rsid w:val="23B452A1"/>
    <w:rsid w:val="23B52D23"/>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EF6A74"/>
    <w:rsid w:val="24F02BBA"/>
    <w:rsid w:val="24F02CB3"/>
    <w:rsid w:val="25016670"/>
    <w:rsid w:val="251364E2"/>
    <w:rsid w:val="25236CE0"/>
    <w:rsid w:val="253731E2"/>
    <w:rsid w:val="25380D5E"/>
    <w:rsid w:val="254002AB"/>
    <w:rsid w:val="254D1B3F"/>
    <w:rsid w:val="25783C88"/>
    <w:rsid w:val="259733DB"/>
    <w:rsid w:val="25984B6E"/>
    <w:rsid w:val="259F0F36"/>
    <w:rsid w:val="25A733DE"/>
    <w:rsid w:val="25A77BA7"/>
    <w:rsid w:val="25AC53DC"/>
    <w:rsid w:val="25BF7538"/>
    <w:rsid w:val="25E25F7B"/>
    <w:rsid w:val="25FA3B44"/>
    <w:rsid w:val="26014383"/>
    <w:rsid w:val="26025AC5"/>
    <w:rsid w:val="26117D22"/>
    <w:rsid w:val="261C37E3"/>
    <w:rsid w:val="262805A9"/>
    <w:rsid w:val="262864B1"/>
    <w:rsid w:val="264E29E7"/>
    <w:rsid w:val="265817DB"/>
    <w:rsid w:val="26685E4E"/>
    <w:rsid w:val="266D09DC"/>
    <w:rsid w:val="26710598"/>
    <w:rsid w:val="26714A83"/>
    <w:rsid w:val="269C0568"/>
    <w:rsid w:val="26A149EF"/>
    <w:rsid w:val="26A420F1"/>
    <w:rsid w:val="26AE6283"/>
    <w:rsid w:val="26BE5191"/>
    <w:rsid w:val="26D50A2C"/>
    <w:rsid w:val="26DA5E4E"/>
    <w:rsid w:val="26E7112A"/>
    <w:rsid w:val="26EA0DDC"/>
    <w:rsid w:val="26EA2865"/>
    <w:rsid w:val="26FF6F87"/>
    <w:rsid w:val="270B2D9A"/>
    <w:rsid w:val="270F6F56"/>
    <w:rsid w:val="272E2055"/>
    <w:rsid w:val="27400A49"/>
    <w:rsid w:val="27436595"/>
    <w:rsid w:val="27447A7C"/>
    <w:rsid w:val="274D7274"/>
    <w:rsid w:val="279C6D96"/>
    <w:rsid w:val="27A61977"/>
    <w:rsid w:val="27CE415D"/>
    <w:rsid w:val="27E34FFB"/>
    <w:rsid w:val="27EA7EA0"/>
    <w:rsid w:val="27EB20ED"/>
    <w:rsid w:val="27FE31E6"/>
    <w:rsid w:val="28090ABE"/>
    <w:rsid w:val="28092CC9"/>
    <w:rsid w:val="28193E3D"/>
    <w:rsid w:val="282370EA"/>
    <w:rsid w:val="283852AB"/>
    <w:rsid w:val="283D2808"/>
    <w:rsid w:val="283F7913"/>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6B6BBA"/>
    <w:rsid w:val="29925D2E"/>
    <w:rsid w:val="299A7BB4"/>
    <w:rsid w:val="29AA010A"/>
    <w:rsid w:val="29DA2F38"/>
    <w:rsid w:val="29FA68D1"/>
    <w:rsid w:val="2A1A17A3"/>
    <w:rsid w:val="2A513BB1"/>
    <w:rsid w:val="2A5218FD"/>
    <w:rsid w:val="2A557B68"/>
    <w:rsid w:val="2A7F36C6"/>
    <w:rsid w:val="2A827ECE"/>
    <w:rsid w:val="2A8E045D"/>
    <w:rsid w:val="2AA37F20"/>
    <w:rsid w:val="2AAC3290"/>
    <w:rsid w:val="2ACF474A"/>
    <w:rsid w:val="2AEB718E"/>
    <w:rsid w:val="2AF93390"/>
    <w:rsid w:val="2AFE7817"/>
    <w:rsid w:val="2B0C164B"/>
    <w:rsid w:val="2B0E0F04"/>
    <w:rsid w:val="2B15743C"/>
    <w:rsid w:val="2B162C13"/>
    <w:rsid w:val="2B172940"/>
    <w:rsid w:val="2B20324F"/>
    <w:rsid w:val="2B2333E5"/>
    <w:rsid w:val="2B33446E"/>
    <w:rsid w:val="2B347CF1"/>
    <w:rsid w:val="2B3B7775"/>
    <w:rsid w:val="2B773C5E"/>
    <w:rsid w:val="2BA179A6"/>
    <w:rsid w:val="2BA60F2A"/>
    <w:rsid w:val="2BB51544"/>
    <w:rsid w:val="2BCE466D"/>
    <w:rsid w:val="2BE5357A"/>
    <w:rsid w:val="2BFD4452"/>
    <w:rsid w:val="2C0525C8"/>
    <w:rsid w:val="2C102B57"/>
    <w:rsid w:val="2C153FA1"/>
    <w:rsid w:val="2C1A370D"/>
    <w:rsid w:val="2C2240F7"/>
    <w:rsid w:val="2C3F7E23"/>
    <w:rsid w:val="2C6C546F"/>
    <w:rsid w:val="2C71696C"/>
    <w:rsid w:val="2C7176F9"/>
    <w:rsid w:val="2C784B05"/>
    <w:rsid w:val="2C7D1787"/>
    <w:rsid w:val="2C9C35A9"/>
    <w:rsid w:val="2C9C42D9"/>
    <w:rsid w:val="2CAC6259"/>
    <w:rsid w:val="2CB71D79"/>
    <w:rsid w:val="2CBA6005"/>
    <w:rsid w:val="2CC04EFA"/>
    <w:rsid w:val="2CFB3628"/>
    <w:rsid w:val="2D2E332F"/>
    <w:rsid w:val="2D312F7F"/>
    <w:rsid w:val="2D3319B5"/>
    <w:rsid w:val="2D3376D8"/>
    <w:rsid w:val="2D4476D1"/>
    <w:rsid w:val="2D4C0361"/>
    <w:rsid w:val="2D516C15"/>
    <w:rsid w:val="2D5477C2"/>
    <w:rsid w:val="2D855F3C"/>
    <w:rsid w:val="2DB00085"/>
    <w:rsid w:val="2DE95C61"/>
    <w:rsid w:val="2DF602B7"/>
    <w:rsid w:val="2DFE2383"/>
    <w:rsid w:val="2E194231"/>
    <w:rsid w:val="2E3458E0"/>
    <w:rsid w:val="2E40666F"/>
    <w:rsid w:val="2E4D5985"/>
    <w:rsid w:val="2E544021"/>
    <w:rsid w:val="2E654C7E"/>
    <w:rsid w:val="2E934898"/>
    <w:rsid w:val="2E93719C"/>
    <w:rsid w:val="2EA10D4B"/>
    <w:rsid w:val="2EA9281C"/>
    <w:rsid w:val="2EC0772B"/>
    <w:rsid w:val="2ED139E0"/>
    <w:rsid w:val="2ED90459"/>
    <w:rsid w:val="2EE4137C"/>
    <w:rsid w:val="2EF561D3"/>
    <w:rsid w:val="2F280B6B"/>
    <w:rsid w:val="2F413C94"/>
    <w:rsid w:val="2F7041AE"/>
    <w:rsid w:val="2F7743A1"/>
    <w:rsid w:val="2F8639E2"/>
    <w:rsid w:val="2F973463"/>
    <w:rsid w:val="2FBF7DE5"/>
    <w:rsid w:val="2FC20D6A"/>
    <w:rsid w:val="2FC30914"/>
    <w:rsid w:val="2FCF028E"/>
    <w:rsid w:val="2FD31004"/>
    <w:rsid w:val="2FEC412C"/>
    <w:rsid w:val="2FF31539"/>
    <w:rsid w:val="303F6316"/>
    <w:rsid w:val="30A72E79"/>
    <w:rsid w:val="30C90064"/>
    <w:rsid w:val="30C920B8"/>
    <w:rsid w:val="30D15BCA"/>
    <w:rsid w:val="30ED4FD4"/>
    <w:rsid w:val="30F36EDD"/>
    <w:rsid w:val="31030360"/>
    <w:rsid w:val="31182819"/>
    <w:rsid w:val="312623DC"/>
    <w:rsid w:val="312F34BF"/>
    <w:rsid w:val="31397652"/>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5221E6"/>
    <w:rsid w:val="345352E6"/>
    <w:rsid w:val="345912BC"/>
    <w:rsid w:val="34630E03"/>
    <w:rsid w:val="346A4F0B"/>
    <w:rsid w:val="34712317"/>
    <w:rsid w:val="347E67DF"/>
    <w:rsid w:val="34987FD8"/>
    <w:rsid w:val="34B9050D"/>
    <w:rsid w:val="34D54F15"/>
    <w:rsid w:val="34E96ADE"/>
    <w:rsid w:val="35093AFE"/>
    <w:rsid w:val="354B252D"/>
    <w:rsid w:val="354D6802"/>
    <w:rsid w:val="355F746B"/>
    <w:rsid w:val="35611C20"/>
    <w:rsid w:val="356309A6"/>
    <w:rsid w:val="3565215B"/>
    <w:rsid w:val="358F2AEF"/>
    <w:rsid w:val="35A95897"/>
    <w:rsid w:val="35AD46F6"/>
    <w:rsid w:val="35B237C1"/>
    <w:rsid w:val="35B567A6"/>
    <w:rsid w:val="35B873B1"/>
    <w:rsid w:val="35B900B0"/>
    <w:rsid w:val="35C74E47"/>
    <w:rsid w:val="35CE44E9"/>
    <w:rsid w:val="35DB18E9"/>
    <w:rsid w:val="35EA4102"/>
    <w:rsid w:val="3603722A"/>
    <w:rsid w:val="36127845"/>
    <w:rsid w:val="3618394C"/>
    <w:rsid w:val="36285F9A"/>
    <w:rsid w:val="36366780"/>
    <w:rsid w:val="36453517"/>
    <w:rsid w:val="364C2EB6"/>
    <w:rsid w:val="36665823"/>
    <w:rsid w:val="36794C6B"/>
    <w:rsid w:val="36852913"/>
    <w:rsid w:val="36A54835"/>
    <w:rsid w:val="36B62551"/>
    <w:rsid w:val="36CD2176"/>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CB65AF"/>
    <w:rsid w:val="382473A9"/>
    <w:rsid w:val="382E3037"/>
    <w:rsid w:val="384B6B1D"/>
    <w:rsid w:val="385C3F07"/>
    <w:rsid w:val="38662298"/>
    <w:rsid w:val="386D639F"/>
    <w:rsid w:val="38864D4B"/>
    <w:rsid w:val="38933456"/>
    <w:rsid w:val="38CB386D"/>
    <w:rsid w:val="38CD2F41"/>
    <w:rsid w:val="38CF6444"/>
    <w:rsid w:val="38D146E8"/>
    <w:rsid w:val="38E73AEB"/>
    <w:rsid w:val="39003390"/>
    <w:rsid w:val="392302DB"/>
    <w:rsid w:val="392F3EDF"/>
    <w:rsid w:val="39456083"/>
    <w:rsid w:val="395A05A6"/>
    <w:rsid w:val="396E7247"/>
    <w:rsid w:val="39A43E33"/>
    <w:rsid w:val="39A706A6"/>
    <w:rsid w:val="39B70940"/>
    <w:rsid w:val="39C2541D"/>
    <w:rsid w:val="39ED44B5"/>
    <w:rsid w:val="39F83928"/>
    <w:rsid w:val="39FF0D34"/>
    <w:rsid w:val="39FF6B36"/>
    <w:rsid w:val="3A091644"/>
    <w:rsid w:val="3A2D6380"/>
    <w:rsid w:val="3A2E6000"/>
    <w:rsid w:val="3A327A7E"/>
    <w:rsid w:val="3A5A39CC"/>
    <w:rsid w:val="3A6C080E"/>
    <w:rsid w:val="3A840F8D"/>
    <w:rsid w:val="3A8E6D2A"/>
    <w:rsid w:val="3A976FE1"/>
    <w:rsid w:val="3AA0503A"/>
    <w:rsid w:val="3AEF1B57"/>
    <w:rsid w:val="3B006358"/>
    <w:rsid w:val="3B0D3470"/>
    <w:rsid w:val="3B296135"/>
    <w:rsid w:val="3B30272B"/>
    <w:rsid w:val="3B314929"/>
    <w:rsid w:val="3B605478"/>
    <w:rsid w:val="3B702D0A"/>
    <w:rsid w:val="3B702D5E"/>
    <w:rsid w:val="3B8B1B40"/>
    <w:rsid w:val="3BA20EF0"/>
    <w:rsid w:val="3BB75E87"/>
    <w:rsid w:val="3BBB1991"/>
    <w:rsid w:val="3BBC230F"/>
    <w:rsid w:val="3BC17A20"/>
    <w:rsid w:val="3BD6093A"/>
    <w:rsid w:val="3BD94DA7"/>
    <w:rsid w:val="3BDB6AF8"/>
    <w:rsid w:val="3BE16CCB"/>
    <w:rsid w:val="3BF24696"/>
    <w:rsid w:val="3BF76926"/>
    <w:rsid w:val="3C077299"/>
    <w:rsid w:val="3C1B51D6"/>
    <w:rsid w:val="3C352ED2"/>
    <w:rsid w:val="3C377099"/>
    <w:rsid w:val="3C587C0F"/>
    <w:rsid w:val="3C5E1B18"/>
    <w:rsid w:val="3C6B33AC"/>
    <w:rsid w:val="3C7103A4"/>
    <w:rsid w:val="3C7D23CD"/>
    <w:rsid w:val="3C8464D4"/>
    <w:rsid w:val="3C8577D9"/>
    <w:rsid w:val="3CBA12D7"/>
    <w:rsid w:val="3CBF66BA"/>
    <w:rsid w:val="3CC505C3"/>
    <w:rsid w:val="3CC56AEB"/>
    <w:rsid w:val="3CCB4B07"/>
    <w:rsid w:val="3CDF116D"/>
    <w:rsid w:val="3CF31043"/>
    <w:rsid w:val="3CF5550F"/>
    <w:rsid w:val="3D045D81"/>
    <w:rsid w:val="3D0955CD"/>
    <w:rsid w:val="3D4C17A1"/>
    <w:rsid w:val="3D577B32"/>
    <w:rsid w:val="3D6D242C"/>
    <w:rsid w:val="3D6E7757"/>
    <w:rsid w:val="3D7E79F1"/>
    <w:rsid w:val="3D7F252A"/>
    <w:rsid w:val="3D8B16BA"/>
    <w:rsid w:val="3D8C6D07"/>
    <w:rsid w:val="3D910C10"/>
    <w:rsid w:val="3D9129C0"/>
    <w:rsid w:val="3DA42D80"/>
    <w:rsid w:val="3DB21145"/>
    <w:rsid w:val="3DB810A3"/>
    <w:rsid w:val="3DC877EB"/>
    <w:rsid w:val="3DD3111B"/>
    <w:rsid w:val="3E0E185F"/>
    <w:rsid w:val="3E166C6B"/>
    <w:rsid w:val="3E243A02"/>
    <w:rsid w:val="3E3F07D8"/>
    <w:rsid w:val="3E5F4689"/>
    <w:rsid w:val="3EBA63BF"/>
    <w:rsid w:val="3EC724A8"/>
    <w:rsid w:val="3EC7320B"/>
    <w:rsid w:val="3ECC285F"/>
    <w:rsid w:val="3EFC6F54"/>
    <w:rsid w:val="3F0350D0"/>
    <w:rsid w:val="3F3106BC"/>
    <w:rsid w:val="3F3570C3"/>
    <w:rsid w:val="3F492FB3"/>
    <w:rsid w:val="3F4B1266"/>
    <w:rsid w:val="3F501D56"/>
    <w:rsid w:val="3F5C6F82"/>
    <w:rsid w:val="3F651E10"/>
    <w:rsid w:val="3F6C7E79"/>
    <w:rsid w:val="3F7B1DB0"/>
    <w:rsid w:val="3F852345"/>
    <w:rsid w:val="3F884A5E"/>
    <w:rsid w:val="3F9049C0"/>
    <w:rsid w:val="3F9625DF"/>
    <w:rsid w:val="3FAF0F8B"/>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321812"/>
    <w:rsid w:val="4137558E"/>
    <w:rsid w:val="41504E33"/>
    <w:rsid w:val="41600151"/>
    <w:rsid w:val="41603818"/>
    <w:rsid w:val="41963419"/>
    <w:rsid w:val="41AF06D0"/>
    <w:rsid w:val="41B53228"/>
    <w:rsid w:val="41BE5467"/>
    <w:rsid w:val="41C60DB3"/>
    <w:rsid w:val="41DB2819"/>
    <w:rsid w:val="41E43129"/>
    <w:rsid w:val="41EE72BB"/>
    <w:rsid w:val="41F149BD"/>
    <w:rsid w:val="422501CE"/>
    <w:rsid w:val="4227255A"/>
    <w:rsid w:val="424F1D91"/>
    <w:rsid w:val="427B248A"/>
    <w:rsid w:val="42860271"/>
    <w:rsid w:val="428D483B"/>
    <w:rsid w:val="42A81C3F"/>
    <w:rsid w:val="42A81EAB"/>
    <w:rsid w:val="42AE05F3"/>
    <w:rsid w:val="42B30BA5"/>
    <w:rsid w:val="42B74E11"/>
    <w:rsid w:val="42B94223"/>
    <w:rsid w:val="42C50218"/>
    <w:rsid w:val="42E5654F"/>
    <w:rsid w:val="42E62A04"/>
    <w:rsid w:val="42EC395B"/>
    <w:rsid w:val="42EC5ED9"/>
    <w:rsid w:val="42F25864"/>
    <w:rsid w:val="42F3528E"/>
    <w:rsid w:val="42FD5DF4"/>
    <w:rsid w:val="430A058D"/>
    <w:rsid w:val="431A67CB"/>
    <w:rsid w:val="43225A5C"/>
    <w:rsid w:val="43254DBA"/>
    <w:rsid w:val="432C162C"/>
    <w:rsid w:val="432F1E46"/>
    <w:rsid w:val="433D7BC4"/>
    <w:rsid w:val="43677A21"/>
    <w:rsid w:val="43993D8E"/>
    <w:rsid w:val="43A01007"/>
    <w:rsid w:val="43BD64CB"/>
    <w:rsid w:val="43E56B7B"/>
    <w:rsid w:val="43F168AA"/>
    <w:rsid w:val="43F25407"/>
    <w:rsid w:val="44291A08"/>
    <w:rsid w:val="442B6866"/>
    <w:rsid w:val="44364BF7"/>
    <w:rsid w:val="444921CF"/>
    <w:rsid w:val="44495E16"/>
    <w:rsid w:val="44530044"/>
    <w:rsid w:val="44572BAD"/>
    <w:rsid w:val="445D4AB6"/>
    <w:rsid w:val="44711559"/>
    <w:rsid w:val="44775A8D"/>
    <w:rsid w:val="448B4301"/>
    <w:rsid w:val="449700C1"/>
    <w:rsid w:val="449A1098"/>
    <w:rsid w:val="44A845F4"/>
    <w:rsid w:val="44C04B5B"/>
    <w:rsid w:val="44DF4AD3"/>
    <w:rsid w:val="4508006A"/>
    <w:rsid w:val="450E7A28"/>
    <w:rsid w:val="451D2CF0"/>
    <w:rsid w:val="4520206A"/>
    <w:rsid w:val="45222F6C"/>
    <w:rsid w:val="452B420A"/>
    <w:rsid w:val="45302890"/>
    <w:rsid w:val="45310F25"/>
    <w:rsid w:val="453A6A23"/>
    <w:rsid w:val="454702B7"/>
    <w:rsid w:val="45643FA0"/>
    <w:rsid w:val="45796508"/>
    <w:rsid w:val="45803901"/>
    <w:rsid w:val="45806EC3"/>
    <w:rsid w:val="458A5B63"/>
    <w:rsid w:val="458B5528"/>
    <w:rsid w:val="45F303D0"/>
    <w:rsid w:val="4603066A"/>
    <w:rsid w:val="46117980"/>
    <w:rsid w:val="46126F72"/>
    <w:rsid w:val="461B3B13"/>
    <w:rsid w:val="461B5D11"/>
    <w:rsid w:val="461E55A5"/>
    <w:rsid w:val="46323738"/>
    <w:rsid w:val="46477E5A"/>
    <w:rsid w:val="465954EC"/>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758BD"/>
    <w:rsid w:val="488E5A9B"/>
    <w:rsid w:val="48942F22"/>
    <w:rsid w:val="489453AF"/>
    <w:rsid w:val="489973AA"/>
    <w:rsid w:val="48A26090"/>
    <w:rsid w:val="48AC334A"/>
    <w:rsid w:val="48AE1E30"/>
    <w:rsid w:val="48AE5697"/>
    <w:rsid w:val="48AF1F07"/>
    <w:rsid w:val="48B225B7"/>
    <w:rsid w:val="48B56CDA"/>
    <w:rsid w:val="48B64E60"/>
    <w:rsid w:val="48F12CEE"/>
    <w:rsid w:val="48FC164D"/>
    <w:rsid w:val="4938000E"/>
    <w:rsid w:val="4941303B"/>
    <w:rsid w:val="4943682E"/>
    <w:rsid w:val="495751DE"/>
    <w:rsid w:val="4966759A"/>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314875"/>
    <w:rsid w:val="4C742EFD"/>
    <w:rsid w:val="4C750F78"/>
    <w:rsid w:val="4C76605D"/>
    <w:rsid w:val="4C8E5CA5"/>
    <w:rsid w:val="4CB31611"/>
    <w:rsid w:val="4CB6277A"/>
    <w:rsid w:val="4CC84B86"/>
    <w:rsid w:val="4CCD5DE2"/>
    <w:rsid w:val="4CCF7D94"/>
    <w:rsid w:val="4D087FDF"/>
    <w:rsid w:val="4D121D34"/>
    <w:rsid w:val="4D2729A1"/>
    <w:rsid w:val="4D687B25"/>
    <w:rsid w:val="4D7A3398"/>
    <w:rsid w:val="4DA229C6"/>
    <w:rsid w:val="4DA62213"/>
    <w:rsid w:val="4DAA1EDE"/>
    <w:rsid w:val="4DB92EE9"/>
    <w:rsid w:val="4DE72A8A"/>
    <w:rsid w:val="4DED276A"/>
    <w:rsid w:val="4E000105"/>
    <w:rsid w:val="4E1857AC"/>
    <w:rsid w:val="4E2C0EEF"/>
    <w:rsid w:val="4E5B34CB"/>
    <w:rsid w:val="4E5E3D22"/>
    <w:rsid w:val="4E897B66"/>
    <w:rsid w:val="4E8D5D4D"/>
    <w:rsid w:val="4E9563FB"/>
    <w:rsid w:val="4E9D1289"/>
    <w:rsid w:val="4EA90BDD"/>
    <w:rsid w:val="4EC7464B"/>
    <w:rsid w:val="4ECF52DB"/>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58366F"/>
    <w:rsid w:val="50617C70"/>
    <w:rsid w:val="50651CC9"/>
    <w:rsid w:val="50714687"/>
    <w:rsid w:val="50847496"/>
    <w:rsid w:val="508D0734"/>
    <w:rsid w:val="508F4388"/>
    <w:rsid w:val="509748C6"/>
    <w:rsid w:val="50B8067E"/>
    <w:rsid w:val="50BA3B81"/>
    <w:rsid w:val="50CE6F9F"/>
    <w:rsid w:val="50D643AB"/>
    <w:rsid w:val="50DE7E9D"/>
    <w:rsid w:val="50FA10E8"/>
    <w:rsid w:val="5102202F"/>
    <w:rsid w:val="51092DE4"/>
    <w:rsid w:val="510F7CBF"/>
    <w:rsid w:val="51191C31"/>
    <w:rsid w:val="513671C8"/>
    <w:rsid w:val="515A2406"/>
    <w:rsid w:val="5173552E"/>
    <w:rsid w:val="51774DB4"/>
    <w:rsid w:val="517A073C"/>
    <w:rsid w:val="517A638F"/>
    <w:rsid w:val="517D50F1"/>
    <w:rsid w:val="518122C6"/>
    <w:rsid w:val="51861FD1"/>
    <w:rsid w:val="518B28F4"/>
    <w:rsid w:val="51BA56A1"/>
    <w:rsid w:val="51C365B2"/>
    <w:rsid w:val="51D51D50"/>
    <w:rsid w:val="51DA038A"/>
    <w:rsid w:val="51DF265F"/>
    <w:rsid w:val="51EA4273"/>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F249C"/>
    <w:rsid w:val="52F11223"/>
    <w:rsid w:val="52FF50A3"/>
    <w:rsid w:val="531E1B16"/>
    <w:rsid w:val="535321C1"/>
    <w:rsid w:val="535B7AFB"/>
    <w:rsid w:val="535C08D2"/>
    <w:rsid w:val="536F52F6"/>
    <w:rsid w:val="537E6888"/>
    <w:rsid w:val="53844015"/>
    <w:rsid w:val="53986FA7"/>
    <w:rsid w:val="53A23138"/>
    <w:rsid w:val="53C127F5"/>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785749"/>
    <w:rsid w:val="557A6439"/>
    <w:rsid w:val="558A5663"/>
    <w:rsid w:val="559B138A"/>
    <w:rsid w:val="55A35452"/>
    <w:rsid w:val="55A4620D"/>
    <w:rsid w:val="55BF4839"/>
    <w:rsid w:val="55C05B3D"/>
    <w:rsid w:val="55CB3AB4"/>
    <w:rsid w:val="55E404D5"/>
    <w:rsid w:val="55E8347F"/>
    <w:rsid w:val="55EB2205"/>
    <w:rsid w:val="55F73A99"/>
    <w:rsid w:val="55FA4A1E"/>
    <w:rsid w:val="56054FAD"/>
    <w:rsid w:val="560A4E69"/>
    <w:rsid w:val="56132672"/>
    <w:rsid w:val="56183FCE"/>
    <w:rsid w:val="561847B5"/>
    <w:rsid w:val="561F5B57"/>
    <w:rsid w:val="562532E3"/>
    <w:rsid w:val="56414D1D"/>
    <w:rsid w:val="56485B92"/>
    <w:rsid w:val="564E44A8"/>
    <w:rsid w:val="566D14D9"/>
    <w:rsid w:val="56707EE0"/>
    <w:rsid w:val="56746747"/>
    <w:rsid w:val="5696045B"/>
    <w:rsid w:val="56986EF0"/>
    <w:rsid w:val="569B0ED4"/>
    <w:rsid w:val="56AD7D44"/>
    <w:rsid w:val="56B62BD2"/>
    <w:rsid w:val="56B6720F"/>
    <w:rsid w:val="56CB3A71"/>
    <w:rsid w:val="56CE33F3"/>
    <w:rsid w:val="56E5461B"/>
    <w:rsid w:val="56E865F9"/>
    <w:rsid w:val="56FA4774"/>
    <w:rsid w:val="570F6AE4"/>
    <w:rsid w:val="57101FE7"/>
    <w:rsid w:val="571F0F7D"/>
    <w:rsid w:val="57420238"/>
    <w:rsid w:val="575514CD"/>
    <w:rsid w:val="57566604"/>
    <w:rsid w:val="57577640"/>
    <w:rsid w:val="575A1224"/>
    <w:rsid w:val="57990C47"/>
    <w:rsid w:val="579A66C8"/>
    <w:rsid w:val="579D086E"/>
    <w:rsid w:val="57B12A6A"/>
    <w:rsid w:val="57B13408"/>
    <w:rsid w:val="57D807E3"/>
    <w:rsid w:val="57F13854"/>
    <w:rsid w:val="57F2070E"/>
    <w:rsid w:val="57F21DC7"/>
    <w:rsid w:val="57F55ADD"/>
    <w:rsid w:val="57FB4B7C"/>
    <w:rsid w:val="57FC2EEA"/>
    <w:rsid w:val="58021570"/>
    <w:rsid w:val="58036524"/>
    <w:rsid w:val="580C5702"/>
    <w:rsid w:val="583270F4"/>
    <w:rsid w:val="58500EC9"/>
    <w:rsid w:val="58530075"/>
    <w:rsid w:val="586E14BF"/>
    <w:rsid w:val="586E66A0"/>
    <w:rsid w:val="588F186B"/>
    <w:rsid w:val="5898018C"/>
    <w:rsid w:val="58AD748A"/>
    <w:rsid w:val="58AD7D6B"/>
    <w:rsid w:val="58B80A8D"/>
    <w:rsid w:val="58CC7D3F"/>
    <w:rsid w:val="58CE79BF"/>
    <w:rsid w:val="58D64D71"/>
    <w:rsid w:val="58E950C4"/>
    <w:rsid w:val="58E96B07"/>
    <w:rsid w:val="58FC2A8C"/>
    <w:rsid w:val="58FF6F73"/>
    <w:rsid w:val="591539B6"/>
    <w:rsid w:val="59155BB5"/>
    <w:rsid w:val="593773EE"/>
    <w:rsid w:val="595B14B9"/>
    <w:rsid w:val="59732C95"/>
    <w:rsid w:val="598E457A"/>
    <w:rsid w:val="5998070C"/>
    <w:rsid w:val="599F5B19"/>
    <w:rsid w:val="59B73AE9"/>
    <w:rsid w:val="59C60849"/>
    <w:rsid w:val="59C759D8"/>
    <w:rsid w:val="59DF307F"/>
    <w:rsid w:val="5A2E0C74"/>
    <w:rsid w:val="5A422436"/>
    <w:rsid w:val="5A425322"/>
    <w:rsid w:val="5A4336AF"/>
    <w:rsid w:val="5A4562A7"/>
    <w:rsid w:val="5A4717AA"/>
    <w:rsid w:val="5A561DC4"/>
    <w:rsid w:val="5A6048D2"/>
    <w:rsid w:val="5A687BD7"/>
    <w:rsid w:val="5A6E4BA3"/>
    <w:rsid w:val="5A832FB0"/>
    <w:rsid w:val="5A8C449C"/>
    <w:rsid w:val="5AAD0254"/>
    <w:rsid w:val="5AB85494"/>
    <w:rsid w:val="5ABC3E58"/>
    <w:rsid w:val="5AC13672"/>
    <w:rsid w:val="5AC46D23"/>
    <w:rsid w:val="5AC5149C"/>
    <w:rsid w:val="5ACF2987"/>
    <w:rsid w:val="5AD03C8C"/>
    <w:rsid w:val="5AE625AD"/>
    <w:rsid w:val="5AF023E5"/>
    <w:rsid w:val="5B0950EB"/>
    <w:rsid w:val="5B184080"/>
    <w:rsid w:val="5B204AB2"/>
    <w:rsid w:val="5B375F05"/>
    <w:rsid w:val="5B397E38"/>
    <w:rsid w:val="5B584E6A"/>
    <w:rsid w:val="5B6F279D"/>
    <w:rsid w:val="5B75006E"/>
    <w:rsid w:val="5B7966A3"/>
    <w:rsid w:val="5B8D78C2"/>
    <w:rsid w:val="5B8E7542"/>
    <w:rsid w:val="5B975C54"/>
    <w:rsid w:val="5BEC78DC"/>
    <w:rsid w:val="5C0813BB"/>
    <w:rsid w:val="5C1839E9"/>
    <w:rsid w:val="5C1C5EAD"/>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4266"/>
    <w:rsid w:val="5DEA7F80"/>
    <w:rsid w:val="5DF012AB"/>
    <w:rsid w:val="5DF16D2C"/>
    <w:rsid w:val="5DF80BD1"/>
    <w:rsid w:val="5E0F1B60"/>
    <w:rsid w:val="5E103D5E"/>
    <w:rsid w:val="5E4C6141"/>
    <w:rsid w:val="5E4E1644"/>
    <w:rsid w:val="5E567D56"/>
    <w:rsid w:val="5E5830B6"/>
    <w:rsid w:val="5E666CEB"/>
    <w:rsid w:val="5E6956F1"/>
    <w:rsid w:val="5E7C4D96"/>
    <w:rsid w:val="5E9033B3"/>
    <w:rsid w:val="5EA63358"/>
    <w:rsid w:val="5EB32F43"/>
    <w:rsid w:val="5EC110C5"/>
    <w:rsid w:val="5ECA6000"/>
    <w:rsid w:val="5EDD34B2"/>
    <w:rsid w:val="5EE15B23"/>
    <w:rsid w:val="5F1E4324"/>
    <w:rsid w:val="5F20157D"/>
    <w:rsid w:val="5F2538A6"/>
    <w:rsid w:val="5F3336C1"/>
    <w:rsid w:val="5F3E0096"/>
    <w:rsid w:val="5F58537A"/>
    <w:rsid w:val="5F7B20B7"/>
    <w:rsid w:val="5F7F1523"/>
    <w:rsid w:val="5F8D2114"/>
    <w:rsid w:val="5F946831"/>
    <w:rsid w:val="5FA06000"/>
    <w:rsid w:val="5FA10B17"/>
    <w:rsid w:val="5FA34174"/>
    <w:rsid w:val="5FC16FA8"/>
    <w:rsid w:val="5FCC5339"/>
    <w:rsid w:val="5FEB2E4C"/>
    <w:rsid w:val="5FF40A7C"/>
    <w:rsid w:val="5FFF488E"/>
    <w:rsid w:val="60017D91"/>
    <w:rsid w:val="601C4286"/>
    <w:rsid w:val="60263108"/>
    <w:rsid w:val="60503394"/>
    <w:rsid w:val="60642034"/>
    <w:rsid w:val="606737AA"/>
    <w:rsid w:val="60746A4B"/>
    <w:rsid w:val="607B41D8"/>
    <w:rsid w:val="60875A6C"/>
    <w:rsid w:val="60D17B2C"/>
    <w:rsid w:val="60E73525"/>
    <w:rsid w:val="61161572"/>
    <w:rsid w:val="611B04DE"/>
    <w:rsid w:val="6122664B"/>
    <w:rsid w:val="61341408"/>
    <w:rsid w:val="617F691E"/>
    <w:rsid w:val="61A82D2B"/>
    <w:rsid w:val="61A907DA"/>
    <w:rsid w:val="61B81661"/>
    <w:rsid w:val="61BE4069"/>
    <w:rsid w:val="61C21F70"/>
    <w:rsid w:val="61CB5D59"/>
    <w:rsid w:val="61D253B6"/>
    <w:rsid w:val="61D502AC"/>
    <w:rsid w:val="61DF37DA"/>
    <w:rsid w:val="61E437AA"/>
    <w:rsid w:val="61F20541"/>
    <w:rsid w:val="61FC0E51"/>
    <w:rsid w:val="61FF3FD4"/>
    <w:rsid w:val="62382C58"/>
    <w:rsid w:val="62442C99"/>
    <w:rsid w:val="625957CD"/>
    <w:rsid w:val="6271349C"/>
    <w:rsid w:val="62A455BE"/>
    <w:rsid w:val="62BC56E3"/>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C76ED9"/>
    <w:rsid w:val="63D648DF"/>
    <w:rsid w:val="63E22599"/>
    <w:rsid w:val="63E31B13"/>
    <w:rsid w:val="63F1289C"/>
    <w:rsid w:val="63FA2E95"/>
    <w:rsid w:val="63FC3E19"/>
    <w:rsid w:val="642A546F"/>
    <w:rsid w:val="64373BD6"/>
    <w:rsid w:val="644C405D"/>
    <w:rsid w:val="64780B28"/>
    <w:rsid w:val="64801EA9"/>
    <w:rsid w:val="648E5907"/>
    <w:rsid w:val="64B0665A"/>
    <w:rsid w:val="64BB2F53"/>
    <w:rsid w:val="64DA19E7"/>
    <w:rsid w:val="64EE2ED3"/>
    <w:rsid w:val="651C4271"/>
    <w:rsid w:val="652860DA"/>
    <w:rsid w:val="65680AED"/>
    <w:rsid w:val="656C52F5"/>
    <w:rsid w:val="65B87C60"/>
    <w:rsid w:val="65CC54F7"/>
    <w:rsid w:val="65D41E5E"/>
    <w:rsid w:val="65D61121"/>
    <w:rsid w:val="65DA25C0"/>
    <w:rsid w:val="65F913CA"/>
    <w:rsid w:val="66075173"/>
    <w:rsid w:val="660A60F8"/>
    <w:rsid w:val="6618760C"/>
    <w:rsid w:val="661D1895"/>
    <w:rsid w:val="661D3BC6"/>
    <w:rsid w:val="661E7317"/>
    <w:rsid w:val="6626064F"/>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4616C"/>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F5EF4"/>
    <w:rsid w:val="67A01A11"/>
    <w:rsid w:val="67A42616"/>
    <w:rsid w:val="67B44AC0"/>
    <w:rsid w:val="67BF400C"/>
    <w:rsid w:val="67D5446A"/>
    <w:rsid w:val="68012776"/>
    <w:rsid w:val="680613B6"/>
    <w:rsid w:val="68073EC9"/>
    <w:rsid w:val="68161650"/>
    <w:rsid w:val="6836320A"/>
    <w:rsid w:val="684E4E1C"/>
    <w:rsid w:val="685A74FE"/>
    <w:rsid w:val="68623CCE"/>
    <w:rsid w:val="686D205F"/>
    <w:rsid w:val="688B22BE"/>
    <w:rsid w:val="68913EF5"/>
    <w:rsid w:val="68A128B9"/>
    <w:rsid w:val="68BB7B14"/>
    <w:rsid w:val="68E1201D"/>
    <w:rsid w:val="68F128DF"/>
    <w:rsid w:val="692F7B9E"/>
    <w:rsid w:val="694A3FCB"/>
    <w:rsid w:val="696403F8"/>
    <w:rsid w:val="698606C5"/>
    <w:rsid w:val="69927C43"/>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D60AB"/>
    <w:rsid w:val="6ABE3E1C"/>
    <w:rsid w:val="6AC27518"/>
    <w:rsid w:val="6AC56D3B"/>
    <w:rsid w:val="6AC7223E"/>
    <w:rsid w:val="6AE517EE"/>
    <w:rsid w:val="6B02197F"/>
    <w:rsid w:val="6B1348BC"/>
    <w:rsid w:val="6B1C3EC6"/>
    <w:rsid w:val="6B20701A"/>
    <w:rsid w:val="6B2B671B"/>
    <w:rsid w:val="6B2C4161"/>
    <w:rsid w:val="6B35519C"/>
    <w:rsid w:val="6B4B4A16"/>
    <w:rsid w:val="6B5E7FD8"/>
    <w:rsid w:val="6B7C0A68"/>
    <w:rsid w:val="6B841F8A"/>
    <w:rsid w:val="6B8D2CCB"/>
    <w:rsid w:val="6B9879EF"/>
    <w:rsid w:val="6B9C7C98"/>
    <w:rsid w:val="6B9F7559"/>
    <w:rsid w:val="6BAA2831"/>
    <w:rsid w:val="6BAC37B5"/>
    <w:rsid w:val="6BB875C8"/>
    <w:rsid w:val="6BC85664"/>
    <w:rsid w:val="6BE61BF1"/>
    <w:rsid w:val="6BFD22BB"/>
    <w:rsid w:val="6C39469E"/>
    <w:rsid w:val="6C397FC7"/>
    <w:rsid w:val="6C4504B1"/>
    <w:rsid w:val="6C4B3E20"/>
    <w:rsid w:val="6CD81C1E"/>
    <w:rsid w:val="6CE77CBA"/>
    <w:rsid w:val="6CE978CE"/>
    <w:rsid w:val="6CEB66C0"/>
    <w:rsid w:val="6CF62C08"/>
    <w:rsid w:val="6CF74EF3"/>
    <w:rsid w:val="6D002DE2"/>
    <w:rsid w:val="6D006926"/>
    <w:rsid w:val="6D07743F"/>
    <w:rsid w:val="6D1632C9"/>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C7127D"/>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A6A7D"/>
    <w:rsid w:val="6EF007B4"/>
    <w:rsid w:val="6EF41A00"/>
    <w:rsid w:val="6EFD1AEA"/>
    <w:rsid w:val="6EFF7B84"/>
    <w:rsid w:val="6F12372D"/>
    <w:rsid w:val="6F165D50"/>
    <w:rsid w:val="6F2B6BEF"/>
    <w:rsid w:val="6F345300"/>
    <w:rsid w:val="6F415AE1"/>
    <w:rsid w:val="6F642E31"/>
    <w:rsid w:val="6F747B9C"/>
    <w:rsid w:val="6F7F1EFD"/>
    <w:rsid w:val="6F89280C"/>
    <w:rsid w:val="6F904BDE"/>
    <w:rsid w:val="6F9D14AD"/>
    <w:rsid w:val="6FA21C45"/>
    <w:rsid w:val="6FBD0389"/>
    <w:rsid w:val="6FD7038D"/>
    <w:rsid w:val="70057BD7"/>
    <w:rsid w:val="700F26E5"/>
    <w:rsid w:val="702F4F3F"/>
    <w:rsid w:val="703838A9"/>
    <w:rsid w:val="70481945"/>
    <w:rsid w:val="705047D3"/>
    <w:rsid w:val="70586A83"/>
    <w:rsid w:val="70670B75"/>
    <w:rsid w:val="70774962"/>
    <w:rsid w:val="70814FA2"/>
    <w:rsid w:val="70831BA5"/>
    <w:rsid w:val="708E6837"/>
    <w:rsid w:val="709177BB"/>
    <w:rsid w:val="70921A10"/>
    <w:rsid w:val="70B51F79"/>
    <w:rsid w:val="70BD3B02"/>
    <w:rsid w:val="70D04FAA"/>
    <w:rsid w:val="70FE7DEF"/>
    <w:rsid w:val="71085217"/>
    <w:rsid w:val="710D5413"/>
    <w:rsid w:val="712C7C8C"/>
    <w:rsid w:val="713759CB"/>
    <w:rsid w:val="71487ACE"/>
    <w:rsid w:val="716952A0"/>
    <w:rsid w:val="716E1728"/>
    <w:rsid w:val="719515E7"/>
    <w:rsid w:val="7197069A"/>
    <w:rsid w:val="7198476A"/>
    <w:rsid w:val="719D2436"/>
    <w:rsid w:val="71B82AA1"/>
    <w:rsid w:val="71C165F4"/>
    <w:rsid w:val="71D2144C"/>
    <w:rsid w:val="71DA42DA"/>
    <w:rsid w:val="71DB64D8"/>
    <w:rsid w:val="71DF4EDF"/>
    <w:rsid w:val="71EF2970"/>
    <w:rsid w:val="71F13EFF"/>
    <w:rsid w:val="71F80007"/>
    <w:rsid w:val="7200722E"/>
    <w:rsid w:val="7209117E"/>
    <w:rsid w:val="720B2963"/>
    <w:rsid w:val="722B1A61"/>
    <w:rsid w:val="72357E6C"/>
    <w:rsid w:val="72396872"/>
    <w:rsid w:val="723B55F8"/>
    <w:rsid w:val="72427182"/>
    <w:rsid w:val="72473169"/>
    <w:rsid w:val="72602955"/>
    <w:rsid w:val="727A40E0"/>
    <w:rsid w:val="72834F56"/>
    <w:rsid w:val="72B53C3D"/>
    <w:rsid w:val="72CE3651"/>
    <w:rsid w:val="72E04348"/>
    <w:rsid w:val="73121016"/>
    <w:rsid w:val="73311008"/>
    <w:rsid w:val="733F66FF"/>
    <w:rsid w:val="73402061"/>
    <w:rsid w:val="734F3C9B"/>
    <w:rsid w:val="736E0E6D"/>
    <w:rsid w:val="738E3316"/>
    <w:rsid w:val="73B50BEA"/>
    <w:rsid w:val="73C2417B"/>
    <w:rsid w:val="73CA3785"/>
    <w:rsid w:val="73D24415"/>
    <w:rsid w:val="73DA5F72"/>
    <w:rsid w:val="73ED2A40"/>
    <w:rsid w:val="742D62BA"/>
    <w:rsid w:val="743A1D97"/>
    <w:rsid w:val="7455116B"/>
    <w:rsid w:val="745F6C7C"/>
    <w:rsid w:val="7462384E"/>
    <w:rsid w:val="74653984"/>
    <w:rsid w:val="747F32A0"/>
    <w:rsid w:val="74852401"/>
    <w:rsid w:val="74A55024"/>
    <w:rsid w:val="74A643ED"/>
    <w:rsid w:val="74BF4BC8"/>
    <w:rsid w:val="74D516B9"/>
    <w:rsid w:val="74D85EC1"/>
    <w:rsid w:val="74FC737A"/>
    <w:rsid w:val="750072B4"/>
    <w:rsid w:val="750147B0"/>
    <w:rsid w:val="7510601B"/>
    <w:rsid w:val="751167ED"/>
    <w:rsid w:val="751B03A4"/>
    <w:rsid w:val="75306550"/>
    <w:rsid w:val="754610E8"/>
    <w:rsid w:val="75614B20"/>
    <w:rsid w:val="7583635A"/>
    <w:rsid w:val="75881353"/>
    <w:rsid w:val="75982A7C"/>
    <w:rsid w:val="759A052B"/>
    <w:rsid w:val="759F1432"/>
    <w:rsid w:val="75A265C8"/>
    <w:rsid w:val="75B9645D"/>
    <w:rsid w:val="75D315DC"/>
    <w:rsid w:val="75D805B1"/>
    <w:rsid w:val="75E011BB"/>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6FB26C3"/>
    <w:rsid w:val="770F3562"/>
    <w:rsid w:val="77131D70"/>
    <w:rsid w:val="771D33A0"/>
    <w:rsid w:val="7728018A"/>
    <w:rsid w:val="7732281D"/>
    <w:rsid w:val="77480F82"/>
    <w:rsid w:val="77492442"/>
    <w:rsid w:val="77532D52"/>
    <w:rsid w:val="775B39E2"/>
    <w:rsid w:val="776D38FC"/>
    <w:rsid w:val="777F291C"/>
    <w:rsid w:val="77854826"/>
    <w:rsid w:val="778622E6"/>
    <w:rsid w:val="778F795D"/>
    <w:rsid w:val="77A8025E"/>
    <w:rsid w:val="77BA6C59"/>
    <w:rsid w:val="77C13386"/>
    <w:rsid w:val="77D20E91"/>
    <w:rsid w:val="77E524BA"/>
    <w:rsid w:val="77F96D63"/>
    <w:rsid w:val="7805161F"/>
    <w:rsid w:val="78505C50"/>
    <w:rsid w:val="78927531"/>
    <w:rsid w:val="78952465"/>
    <w:rsid w:val="78A00CED"/>
    <w:rsid w:val="78A56E7C"/>
    <w:rsid w:val="78BB3E42"/>
    <w:rsid w:val="78D366C6"/>
    <w:rsid w:val="78EA1B6E"/>
    <w:rsid w:val="78F114F9"/>
    <w:rsid w:val="791A26BE"/>
    <w:rsid w:val="792D03E3"/>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17F22"/>
    <w:rsid w:val="7A430EA6"/>
    <w:rsid w:val="7A442306"/>
    <w:rsid w:val="7A6359F5"/>
    <w:rsid w:val="7A6C09E6"/>
    <w:rsid w:val="7A78007C"/>
    <w:rsid w:val="7A83640D"/>
    <w:rsid w:val="7A941198"/>
    <w:rsid w:val="7ACF3E92"/>
    <w:rsid w:val="7AD52994"/>
    <w:rsid w:val="7AE3772B"/>
    <w:rsid w:val="7B0F2A7C"/>
    <w:rsid w:val="7B264797"/>
    <w:rsid w:val="7B315C9C"/>
    <w:rsid w:val="7B346230"/>
    <w:rsid w:val="7B3C363D"/>
    <w:rsid w:val="7B4F485C"/>
    <w:rsid w:val="7B585E3C"/>
    <w:rsid w:val="7B5A558A"/>
    <w:rsid w:val="7B5D15F3"/>
    <w:rsid w:val="7B644801"/>
    <w:rsid w:val="7B680137"/>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BE6432"/>
    <w:rsid w:val="7DBF335B"/>
    <w:rsid w:val="7DC06BDF"/>
    <w:rsid w:val="7DC616C1"/>
    <w:rsid w:val="7DD2457A"/>
    <w:rsid w:val="7DD47BB5"/>
    <w:rsid w:val="7DEA429D"/>
    <w:rsid w:val="7DF969B8"/>
    <w:rsid w:val="7E2C3018"/>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5"/>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2603</Words>
  <Characters>12518</Characters>
  <Lines>0</Lines>
  <Paragraphs>0</Paragraphs>
  <TotalTime>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2025-08-13T02:26:40Z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